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5F7620" w14:textId="77777777" w:rsidR="00F7390E" w:rsidRDefault="00F7390E" w:rsidP="00F7390E">
      <w:pPr>
        <w:spacing w:line="480" w:lineRule="auto"/>
        <w:jc w:val="center"/>
        <w:rPr>
          <w:rFonts w:ascii="Times New Roman" w:hAnsi="Times New Roman" w:cs="Times New Roman"/>
          <w:bCs/>
          <w:sz w:val="24"/>
          <w:szCs w:val="24"/>
          <w:lang w:val="en-US"/>
        </w:rPr>
      </w:pPr>
    </w:p>
    <w:p w14:paraId="3E84D002" w14:textId="59B5793E" w:rsidR="00F7390E" w:rsidRDefault="00F7390E" w:rsidP="00F7390E">
      <w:pPr>
        <w:spacing w:line="480" w:lineRule="auto"/>
        <w:jc w:val="center"/>
        <w:rPr>
          <w:rFonts w:ascii="Times New Roman" w:hAnsi="Times New Roman" w:cs="Times New Roman"/>
          <w:bCs/>
          <w:sz w:val="24"/>
          <w:szCs w:val="24"/>
          <w:lang w:val="en-US"/>
        </w:rPr>
      </w:pPr>
    </w:p>
    <w:p w14:paraId="21F91DEF" w14:textId="6CFE2E91" w:rsidR="00F7390E" w:rsidRDefault="00F7390E" w:rsidP="00F7390E">
      <w:pPr>
        <w:spacing w:line="480" w:lineRule="auto"/>
        <w:jc w:val="center"/>
        <w:rPr>
          <w:rFonts w:ascii="Times New Roman" w:hAnsi="Times New Roman" w:cs="Times New Roman"/>
          <w:bCs/>
          <w:sz w:val="24"/>
          <w:szCs w:val="24"/>
          <w:lang w:val="en-US"/>
        </w:rPr>
      </w:pPr>
    </w:p>
    <w:p w14:paraId="6E4D5B39" w14:textId="77777777" w:rsidR="00F7390E" w:rsidRDefault="00F7390E" w:rsidP="00F7390E">
      <w:pPr>
        <w:spacing w:line="480" w:lineRule="auto"/>
        <w:jc w:val="center"/>
        <w:rPr>
          <w:rFonts w:ascii="Times New Roman" w:hAnsi="Times New Roman" w:cs="Times New Roman"/>
          <w:bCs/>
          <w:sz w:val="24"/>
          <w:szCs w:val="24"/>
          <w:lang w:val="en-US"/>
        </w:rPr>
      </w:pPr>
    </w:p>
    <w:p w14:paraId="368CE88A" w14:textId="77777777" w:rsidR="00F7390E" w:rsidRDefault="00F7390E" w:rsidP="00F7390E">
      <w:pPr>
        <w:spacing w:line="480" w:lineRule="auto"/>
        <w:jc w:val="center"/>
        <w:rPr>
          <w:rFonts w:ascii="Times New Roman" w:hAnsi="Times New Roman" w:cs="Times New Roman"/>
          <w:bCs/>
          <w:sz w:val="24"/>
          <w:szCs w:val="24"/>
          <w:lang w:val="en-US"/>
        </w:rPr>
      </w:pPr>
    </w:p>
    <w:p w14:paraId="5179346D" w14:textId="082CB79E" w:rsidR="00F7390E" w:rsidRDefault="00F7390E" w:rsidP="00F7390E">
      <w:pPr>
        <w:spacing w:line="480" w:lineRule="auto"/>
        <w:jc w:val="center"/>
        <w:rPr>
          <w:rFonts w:ascii="Times New Roman" w:hAnsi="Times New Roman" w:cs="Times New Roman"/>
          <w:bCs/>
          <w:sz w:val="24"/>
          <w:szCs w:val="24"/>
          <w:lang w:val="en-US"/>
        </w:rPr>
      </w:pPr>
      <w:r w:rsidRPr="00F7390E">
        <w:rPr>
          <w:rFonts w:ascii="Times New Roman" w:hAnsi="Times New Roman" w:cs="Times New Roman"/>
          <w:bCs/>
          <w:sz w:val="24"/>
          <w:szCs w:val="24"/>
          <w:lang w:val="en-US"/>
        </w:rPr>
        <w:t xml:space="preserve">Reading Response </w:t>
      </w:r>
      <w:r>
        <w:rPr>
          <w:rFonts w:ascii="Times New Roman" w:hAnsi="Times New Roman" w:cs="Times New Roman"/>
          <w:bCs/>
          <w:sz w:val="24"/>
          <w:szCs w:val="24"/>
          <w:lang w:val="en-US"/>
        </w:rPr>
        <w:t>on</w:t>
      </w:r>
      <w:r w:rsidRPr="00F7390E">
        <w:rPr>
          <w:rFonts w:ascii="Times New Roman" w:hAnsi="Times New Roman" w:cs="Times New Roman"/>
          <w:bCs/>
          <w:sz w:val="24"/>
          <w:szCs w:val="24"/>
          <w:lang w:val="en-US"/>
        </w:rPr>
        <w:t xml:space="preserve"> “The Coming of Print to Europe”</w:t>
      </w:r>
    </w:p>
    <w:p w14:paraId="166AA7F5" w14:textId="6E65E5B4" w:rsidR="00F7390E" w:rsidRDefault="00F7390E" w:rsidP="00F7390E">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247ADF1D" w14:textId="73E2C104" w:rsidR="00F7390E" w:rsidRDefault="00F7390E" w:rsidP="00F7390E">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36BC610C" w14:textId="77777777" w:rsidR="00F7390E" w:rsidRDefault="00F7390E" w:rsidP="00F7390E">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051CD96B" w14:textId="3C5F7FF3" w:rsidR="00F7390E" w:rsidRDefault="00F7390E" w:rsidP="00F7390E">
      <w:pPr>
        <w:spacing w:line="480" w:lineRule="auto"/>
        <w:jc w:val="center"/>
        <w:rPr>
          <w:rFonts w:ascii="Times New Roman" w:hAnsi="Times New Roman" w:cs="Times New Roman"/>
          <w:bCs/>
          <w:sz w:val="24"/>
          <w:szCs w:val="24"/>
          <w:lang w:val="en-US"/>
        </w:rPr>
      </w:pPr>
      <w:r w:rsidRPr="00F7390E">
        <w:rPr>
          <w:rFonts w:ascii="Times New Roman" w:hAnsi="Times New Roman" w:cs="Times New Roman"/>
          <w:bCs/>
          <w:sz w:val="24"/>
          <w:szCs w:val="24"/>
          <w:lang w:val="en-US"/>
        </w:rPr>
        <w:lastRenderedPageBreak/>
        <w:t>Reading Response on “The Coming of Print to Europe”</w:t>
      </w:r>
    </w:p>
    <w:p w14:paraId="15B3CA40" w14:textId="77777777" w:rsidR="00F7390E" w:rsidRDefault="00F7390E" w:rsidP="00F7390E">
      <w:pPr>
        <w:spacing w:line="480" w:lineRule="auto"/>
        <w:ind w:firstLine="720"/>
        <w:rPr>
          <w:rFonts w:ascii="Times New Roman" w:hAnsi="Times New Roman" w:cs="Times New Roman"/>
          <w:sz w:val="24"/>
          <w:szCs w:val="24"/>
          <w:lang w:val="en-US"/>
        </w:rPr>
      </w:pPr>
      <w:r w:rsidRPr="00F7390E">
        <w:rPr>
          <w:rFonts w:ascii="Times New Roman" w:hAnsi="Times New Roman" w:cs="Times New Roman"/>
          <w:sz w:val="24"/>
          <w:szCs w:val="24"/>
          <w:lang w:val="en-US"/>
        </w:rPr>
        <w:t>In an essay entitled “The Coming of Print to Europe”, Adrian Johns gives a brief historical description of the emergence of printing in Western Europe and how the invention of movable type contributed to early print in what he calls the printing revolution (Johns, 2014). He first explains why the introduction of printing in Western Europe qualifies to be a revolution, before putting out his argument regarding the gaps in the history of early print in Europe. However, he points out that printing emerged due to experiments, before setting the scene in which printing was introduced with a particular focus on the contribution of Johannes Gutenberg and his contemporaries (Johns, 2014). Subsequently, Johns attempts to illustrate the changes brought about by early print, explaining the establishment of the printing house, its early operations, and how it revolutionized the print industry. Also, he elaborates on how early print affected the ownership, distribution, and accessibility of printed works in existing social and financial systems. In his final segment, the author attempts to illustrate how print revolutionized human civilization and communication which eventually contributed to the modern distribution of knowledge through printed products.</w:t>
      </w:r>
    </w:p>
    <w:p w14:paraId="57F0D1C8" w14:textId="77777777" w:rsidR="00F7390E" w:rsidRDefault="00F7390E" w:rsidP="00F7390E">
      <w:pPr>
        <w:spacing w:line="480" w:lineRule="auto"/>
        <w:ind w:firstLine="720"/>
        <w:rPr>
          <w:rFonts w:ascii="Times New Roman" w:hAnsi="Times New Roman" w:cs="Times New Roman"/>
          <w:sz w:val="24"/>
          <w:szCs w:val="24"/>
          <w:lang w:val="en-US"/>
        </w:rPr>
      </w:pPr>
      <w:r w:rsidRPr="00F7390E">
        <w:rPr>
          <w:rFonts w:ascii="Times New Roman" w:hAnsi="Times New Roman" w:cs="Times New Roman"/>
          <w:sz w:val="24"/>
          <w:szCs w:val="24"/>
          <w:lang w:val="en-US"/>
        </w:rPr>
        <w:t xml:space="preserve">In “The Coming of Print to Europe”, Johns argues that there exists a deficit in the historical account of the introduction of print in Europe and the implications of Johann Gutenberg’s invention to the world of print. He proposes that to better understand the revolution and its significance, one should avoid focusing more on the implications of the revolution that seem important when viewed in retrospect, as opposed to the context in which the revolution occurred (Johns, 2014). To elaborate his point, Johns expounds on the circumstances in which the foundation for early print was laid, and how it gained from practices that already existed. He points out that existing practices such as cannon-making, engraving, and the Vitruvian rhetoric contributed to the printing revolution through what he calls social and mechanical experiments by the goldsmiths and artisans (Johns, 2014). He </w:t>
      </w:r>
      <w:r w:rsidRPr="00F7390E">
        <w:rPr>
          <w:rFonts w:ascii="Times New Roman" w:hAnsi="Times New Roman" w:cs="Times New Roman"/>
          <w:sz w:val="24"/>
          <w:szCs w:val="24"/>
          <w:lang w:val="en-US"/>
        </w:rPr>
        <w:lastRenderedPageBreak/>
        <w:t>also shows that Gutenberg’s invention of the moving type falls among these experiments by artisans at the time. Furthermore, Johns illustrates how the printing revolution impacted the practices, conventions, and regulations for the production and use of printed materials (Kvande, 2015). For instance, he explains the emergence of printing houses and their role in the development of guidelines for relationships between different players in the print industry. Also, Johns points out that the advancements in printing enabled more books to be produced at cheaper costs, hence more available to less-affluent members of the society (Johns, 2014). Ultimately, Johns attempts to explain how early print set the basis for modern sharing and preservation of knowledge through printed materials. This different approach proves his argument that more can be learned about the printing revolution and its significance by focusing on the circumstances in which the revolution occurred as opposed to using a retrospective approach to analyze the implications of the introduction of early print.</w:t>
      </w:r>
    </w:p>
    <w:p w14:paraId="2A03A5DA" w14:textId="77777777" w:rsidR="00F7390E" w:rsidRDefault="00F7390E" w:rsidP="00F7390E">
      <w:pPr>
        <w:spacing w:line="480" w:lineRule="auto"/>
        <w:ind w:firstLine="720"/>
        <w:rPr>
          <w:rFonts w:ascii="Times New Roman" w:hAnsi="Times New Roman" w:cs="Times New Roman"/>
          <w:sz w:val="24"/>
          <w:szCs w:val="24"/>
          <w:lang w:val="en-US"/>
        </w:rPr>
      </w:pPr>
      <w:r w:rsidRPr="00F7390E">
        <w:rPr>
          <w:rFonts w:ascii="Times New Roman" w:hAnsi="Times New Roman" w:cs="Times New Roman"/>
          <w:sz w:val="24"/>
          <w:szCs w:val="24"/>
          <w:lang w:val="en-US"/>
        </w:rPr>
        <w:t>Therefore, Johns successfully uses his argument to highlight gaps in the previous historical accounts of the introduction and advancement of early print which neglected the implications of analyzing the printing revolution retrospectively with preconceptions about the direction of the changes. As such, he uses a different approach to explain the history of early print by exploring the circumstances in which the printing revolution occurred while focusing on Johannes Gutenberg and several individuals’ contribution to the revolution, thus detailing how early print benefited from the existing practices as part of experiments that gave rise to early print. Furthermore, he successfully illustrates how the printing revolution impacted the processes, conventions, and policies for the production and utilization of printed materials which revolutionized communication through print products. Consequently, Adrian Johns' "The Coming of Print to Europe" effectively supports his argument regarding how more can be learned from the history of early print and its implications.</w:t>
      </w:r>
    </w:p>
    <w:p w14:paraId="72FF4EC2" w14:textId="77777777" w:rsidR="00F7390E" w:rsidRDefault="00F7390E" w:rsidP="00F7390E">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23745225" w14:textId="08FD284A" w:rsidR="00F7390E" w:rsidRDefault="00F7390E" w:rsidP="00F7390E">
      <w:pPr>
        <w:spacing w:line="480" w:lineRule="auto"/>
        <w:jc w:val="center"/>
        <w:rPr>
          <w:rFonts w:ascii="Times New Roman" w:hAnsi="Times New Roman" w:cs="Times New Roman"/>
          <w:bCs/>
          <w:sz w:val="24"/>
          <w:szCs w:val="24"/>
          <w:lang w:val="en-US"/>
        </w:rPr>
      </w:pPr>
      <w:r w:rsidRPr="00F7390E">
        <w:rPr>
          <w:rFonts w:ascii="Times New Roman" w:hAnsi="Times New Roman" w:cs="Times New Roman"/>
          <w:bCs/>
          <w:sz w:val="24"/>
          <w:szCs w:val="24"/>
          <w:lang w:val="en-US"/>
        </w:rPr>
        <w:lastRenderedPageBreak/>
        <w:t>References</w:t>
      </w:r>
    </w:p>
    <w:p w14:paraId="1C343668" w14:textId="77777777" w:rsidR="00F7390E" w:rsidRDefault="00F7390E" w:rsidP="00F7390E">
      <w:pPr>
        <w:spacing w:line="480" w:lineRule="auto"/>
        <w:ind w:left="720" w:hanging="720"/>
        <w:rPr>
          <w:rFonts w:ascii="Times New Roman" w:hAnsi="Times New Roman" w:cs="Times New Roman"/>
          <w:sz w:val="24"/>
          <w:szCs w:val="24"/>
          <w:lang w:val="en-US"/>
        </w:rPr>
      </w:pPr>
      <w:r w:rsidRPr="00F7390E">
        <w:rPr>
          <w:rFonts w:ascii="Times New Roman" w:hAnsi="Times New Roman" w:cs="Times New Roman"/>
          <w:sz w:val="24"/>
          <w:szCs w:val="24"/>
          <w:lang w:val="en-US"/>
        </w:rPr>
        <w:t>Johns, A. (2014). The Coming of Print to Europe. In L. Howsam (Ed.), </w:t>
      </w:r>
      <w:r w:rsidRPr="00F7390E">
        <w:rPr>
          <w:rFonts w:ascii="Times New Roman" w:hAnsi="Times New Roman" w:cs="Times New Roman"/>
          <w:i/>
          <w:sz w:val="24"/>
          <w:szCs w:val="24"/>
          <w:lang w:val="en-US"/>
        </w:rPr>
        <w:t>The Cambridge Companion to the History of the Book</w:t>
      </w:r>
      <w:r w:rsidRPr="00F7390E">
        <w:rPr>
          <w:rFonts w:ascii="Times New Roman" w:hAnsi="Times New Roman" w:cs="Times New Roman"/>
          <w:sz w:val="24"/>
          <w:szCs w:val="24"/>
          <w:lang w:val="en-US"/>
        </w:rPr>
        <w:t> (Cambridge Companions to Literature, pp. 107-124). Cambridge: Cambridge University Press.</w:t>
      </w:r>
    </w:p>
    <w:p w14:paraId="1A17E397" w14:textId="77777777" w:rsidR="00F7390E" w:rsidRPr="00F7390E" w:rsidRDefault="00F7390E" w:rsidP="00F7390E">
      <w:pPr>
        <w:spacing w:line="480" w:lineRule="auto"/>
        <w:ind w:left="720" w:hanging="720"/>
        <w:rPr>
          <w:rFonts w:ascii="Times New Roman" w:hAnsi="Times New Roman" w:cs="Times New Roman"/>
          <w:sz w:val="24"/>
          <w:szCs w:val="24"/>
          <w:lang w:val="en-US"/>
        </w:rPr>
      </w:pPr>
      <w:r w:rsidRPr="00F7390E">
        <w:rPr>
          <w:rFonts w:ascii="Times New Roman" w:hAnsi="Times New Roman" w:cs="Times New Roman"/>
          <w:sz w:val="24"/>
          <w:szCs w:val="24"/>
          <w:lang w:val="en-US"/>
        </w:rPr>
        <w:t>Kvande, M. (2015). The Cambridge Companion to the History of the Book, ed. by Leslie Howsam (pp 322-325). </w:t>
      </w:r>
      <w:r w:rsidRPr="00F7390E">
        <w:rPr>
          <w:rFonts w:ascii="Times New Roman" w:hAnsi="Times New Roman" w:cs="Times New Roman"/>
          <w:i/>
          <w:sz w:val="24"/>
          <w:szCs w:val="24"/>
          <w:lang w:val="en-US"/>
        </w:rPr>
        <w:t>Papers of The Bibliographical Society of Canada</w:t>
      </w:r>
      <w:r w:rsidRPr="00F7390E">
        <w:rPr>
          <w:rFonts w:ascii="Times New Roman" w:hAnsi="Times New Roman" w:cs="Times New Roman"/>
          <w:sz w:val="24"/>
          <w:szCs w:val="24"/>
          <w:lang w:val="en-US"/>
        </w:rPr>
        <w:t>, 53(2).</w:t>
      </w:r>
    </w:p>
    <w:sectPr w:rsidR="00F7390E" w:rsidRPr="00F7390E" w:rsidSect="00F7390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5C32AA" w14:textId="77777777" w:rsidR="002A6CD5" w:rsidRDefault="002A6CD5" w:rsidP="00F7390E">
      <w:pPr>
        <w:spacing w:after="0" w:line="240" w:lineRule="auto"/>
      </w:pPr>
      <w:r>
        <w:separator/>
      </w:r>
    </w:p>
  </w:endnote>
  <w:endnote w:type="continuationSeparator" w:id="0">
    <w:p w14:paraId="45136CB5" w14:textId="77777777" w:rsidR="002A6CD5" w:rsidRDefault="002A6CD5" w:rsidP="00F73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286C74" w14:textId="77777777" w:rsidR="002A6CD5" w:rsidRDefault="002A6CD5" w:rsidP="00F7390E">
      <w:pPr>
        <w:spacing w:after="0" w:line="240" w:lineRule="auto"/>
      </w:pPr>
      <w:r>
        <w:separator/>
      </w:r>
    </w:p>
  </w:footnote>
  <w:footnote w:type="continuationSeparator" w:id="0">
    <w:p w14:paraId="1592EE72" w14:textId="77777777" w:rsidR="002A6CD5" w:rsidRDefault="002A6CD5" w:rsidP="00F739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967587293"/>
      <w:docPartObj>
        <w:docPartGallery w:val="Page Numbers (Top of Page)"/>
        <w:docPartUnique/>
      </w:docPartObj>
    </w:sdtPr>
    <w:sdtEndPr>
      <w:rPr>
        <w:noProof/>
      </w:rPr>
    </w:sdtEndPr>
    <w:sdtContent>
      <w:p w14:paraId="7FD5232D" w14:textId="72ADA775" w:rsidR="00F7390E" w:rsidRPr="00F7390E" w:rsidRDefault="00F7390E" w:rsidP="00F7390E">
        <w:pPr>
          <w:pStyle w:val="Header"/>
          <w:jc w:val="right"/>
          <w:rPr>
            <w:rFonts w:ascii="Times New Roman" w:hAnsi="Times New Roman" w:cs="Times New Roman"/>
          </w:rPr>
        </w:pPr>
        <w:r w:rsidRPr="00F7390E">
          <w:rPr>
            <w:rFonts w:ascii="Times New Roman" w:hAnsi="Times New Roman" w:cs="Times New Roman"/>
            <w:bCs/>
            <w:lang w:val="en-US"/>
          </w:rPr>
          <w:t>READING RESPONSE ON “THE COMING OF PRINT TO EUROPE”</w:t>
        </w:r>
        <w:r>
          <w:rPr>
            <w:rFonts w:ascii="Times New Roman" w:hAnsi="Times New Roman" w:cs="Times New Roman"/>
            <w:bCs/>
            <w:lang w:val="en-US"/>
          </w:rPr>
          <w:tab/>
        </w:r>
        <w:r w:rsidRPr="00F7390E">
          <w:rPr>
            <w:rFonts w:ascii="Times New Roman" w:hAnsi="Times New Roman" w:cs="Times New Roman"/>
          </w:rPr>
          <w:fldChar w:fldCharType="begin"/>
        </w:r>
        <w:r w:rsidRPr="00F7390E">
          <w:rPr>
            <w:rFonts w:ascii="Times New Roman" w:hAnsi="Times New Roman" w:cs="Times New Roman"/>
          </w:rPr>
          <w:instrText xml:space="preserve"> PAGE   \* MERGEFORMAT </w:instrText>
        </w:r>
        <w:r w:rsidRPr="00F7390E">
          <w:rPr>
            <w:rFonts w:ascii="Times New Roman" w:hAnsi="Times New Roman" w:cs="Times New Roman"/>
          </w:rPr>
          <w:fldChar w:fldCharType="separate"/>
        </w:r>
        <w:r w:rsidRPr="00F7390E">
          <w:rPr>
            <w:rFonts w:ascii="Times New Roman" w:hAnsi="Times New Roman" w:cs="Times New Roman"/>
            <w:noProof/>
          </w:rPr>
          <w:t>2</w:t>
        </w:r>
        <w:r w:rsidRPr="00F7390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9195835"/>
      <w:docPartObj>
        <w:docPartGallery w:val="Page Numbers (Top of Page)"/>
        <w:docPartUnique/>
      </w:docPartObj>
    </w:sdtPr>
    <w:sdtEndPr>
      <w:rPr>
        <w:noProof/>
      </w:rPr>
    </w:sdtEndPr>
    <w:sdtContent>
      <w:p w14:paraId="030C90DC" w14:textId="56870579" w:rsidR="00F7390E" w:rsidRPr="00F7390E" w:rsidRDefault="00F7390E" w:rsidP="00F7390E">
        <w:pPr>
          <w:pStyle w:val="Header"/>
          <w:jc w:val="right"/>
          <w:rPr>
            <w:rFonts w:ascii="Times New Roman" w:hAnsi="Times New Roman" w:cs="Times New Roman"/>
          </w:rPr>
        </w:pPr>
        <w:r>
          <w:rPr>
            <w:rFonts w:ascii="Times New Roman" w:hAnsi="Times New Roman" w:cs="Times New Roman"/>
            <w:lang w:val="en-US"/>
          </w:rPr>
          <w:t xml:space="preserve">Running head: </w:t>
        </w:r>
        <w:r w:rsidRPr="00F7390E">
          <w:rPr>
            <w:rFonts w:ascii="Times New Roman" w:hAnsi="Times New Roman" w:cs="Times New Roman"/>
            <w:bCs/>
            <w:lang w:val="en-US"/>
          </w:rPr>
          <w:t>READING RESPONSE ON “THE COMING OF PRINT TO EUROPE</w:t>
        </w:r>
        <w:r>
          <w:rPr>
            <w:rFonts w:ascii="Times New Roman" w:hAnsi="Times New Roman" w:cs="Times New Roman"/>
            <w:bCs/>
            <w:lang w:val="en-US"/>
          </w:rPr>
          <w:tab/>
        </w:r>
        <w:r w:rsidRPr="00F7390E">
          <w:rPr>
            <w:rFonts w:ascii="Times New Roman" w:hAnsi="Times New Roman" w:cs="Times New Roman"/>
          </w:rPr>
          <w:fldChar w:fldCharType="begin"/>
        </w:r>
        <w:r w:rsidRPr="00F7390E">
          <w:rPr>
            <w:rFonts w:ascii="Times New Roman" w:hAnsi="Times New Roman" w:cs="Times New Roman"/>
          </w:rPr>
          <w:instrText xml:space="preserve"> PAGE   \* MERGEFORMAT </w:instrText>
        </w:r>
        <w:r w:rsidRPr="00F7390E">
          <w:rPr>
            <w:rFonts w:ascii="Times New Roman" w:hAnsi="Times New Roman" w:cs="Times New Roman"/>
          </w:rPr>
          <w:fldChar w:fldCharType="separate"/>
        </w:r>
        <w:r w:rsidRPr="00F7390E">
          <w:rPr>
            <w:rFonts w:ascii="Times New Roman" w:hAnsi="Times New Roman" w:cs="Times New Roman"/>
            <w:noProof/>
          </w:rPr>
          <w:t>2</w:t>
        </w:r>
        <w:r w:rsidRPr="00F7390E">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90E"/>
    <w:rsid w:val="002A6CD5"/>
    <w:rsid w:val="00E82E0A"/>
    <w:rsid w:val="00F7390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7DEFC7"/>
  <w15:chartTrackingRefBased/>
  <w15:docId w15:val="{5C74F801-8FA8-4EF7-BAF4-BE31C926D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9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90E"/>
  </w:style>
  <w:style w:type="paragraph" w:styleId="Footer">
    <w:name w:val="footer"/>
    <w:basedOn w:val="Normal"/>
    <w:link w:val="FooterChar"/>
    <w:uiPriority w:val="99"/>
    <w:unhideWhenUsed/>
    <w:rsid w:val="00F739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9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724</Words>
  <Characters>4130</Characters>
  <Application>Microsoft Office Word</Application>
  <DocSecurity>0</DocSecurity>
  <Lines>34</Lines>
  <Paragraphs>9</Paragraphs>
  <ScaleCrop>false</ScaleCrop>
  <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cp:revision>
  <dcterms:created xsi:type="dcterms:W3CDTF">2021-01-14T17:00:00Z</dcterms:created>
  <dcterms:modified xsi:type="dcterms:W3CDTF">2021-01-14T17:07:00Z</dcterms:modified>
</cp:coreProperties>
</file>